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</w:rPr>
        <w:t>IV</w:t>
      </w: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четверть: Раздел: 7.4 А. Энергия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>54/2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 Потенциальная энергия.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1 Цель: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учащиеся должны </w:t>
      </w:r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ознакомится</w:t>
      </w:r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с потенциальной энергией, с формулой для расчета потенциальной энергии под действием силы упругости, применить формулы при решении задач.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Краткий тезисный конспект 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Чем большую работу может совершить тело, тем большей энергией оно обладает.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От чего же зависит энергия поднятого мяча? Очевидно, что от высоты, на которой находится мяч, и от его массы. То есть можно сказать, что энергия зависит от взаимного расположения тел – мяча и Земли.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От чего же зависит энергия сжатой пружины? От деформации пружины, то есть от взаимного расположения ее витков, а витки пружины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- это часть одного тела.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inline distT="0" distB="0" distL="0" distR="0" wp14:anchorId="10B8169E" wp14:editId="01485583">
            <wp:extent cx="1562100" cy="1181100"/>
            <wp:effectExtent l="19050" t="0" r="0" b="0"/>
            <wp:docPr id="227" name="Рисунок 1" descr="э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2" descr="э7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0C6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Pr="001A0C6B">
        <w:rPr>
          <w:rFonts w:ascii="Times New Roman" w:hAnsi="Times New Roman" w:cs="Times New Roman"/>
          <w:noProof/>
          <w:color w:val="333333"/>
          <w:sz w:val="24"/>
          <w:szCs w:val="24"/>
          <w:lang w:val="ru-RU" w:eastAsia="ru-RU"/>
        </w:rPr>
        <w:drawing>
          <wp:inline distT="0" distB="0" distL="0" distR="0" wp14:anchorId="4F053936" wp14:editId="1670B66C">
            <wp:extent cx="1752600" cy="1085850"/>
            <wp:effectExtent l="19050" t="0" r="0" b="0"/>
            <wp:docPr id="229" name="Рисунок 2" descr="э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3" descr="э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014" cy="108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     Энергия, которая определяется взаимным положением взаимодействующих тел или частей одного и того же тела называется потенциальной.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Энергия поднятого над Землей камня, деформированной пружины, сжатого газа, воды в реках удерживаемой плотинами – все это примеры тел, обладающих потенциальной энергией.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Вычислим потенциальную энергию </w:t>
      </w:r>
      <w:proofErr w:type="spellStart"/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Еп</w:t>
      </w:r>
      <w:proofErr w:type="spellEnd"/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тела массой 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m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, поднятого над Землей на высоту 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h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. Будем считать потенциальную энергию тела, лежащего на поверхности Земли, равной нулю. Тогда </w:t>
      </w:r>
      <w:proofErr w:type="spellStart"/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Еп</w:t>
      </w:r>
      <w:proofErr w:type="spellEnd"/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тела, поднят поднятого на некоторую высоту, будет определяться работой, которую совершит сила тяжести при падении тела на Землю: </w:t>
      </w:r>
      <w:proofErr w:type="spellStart"/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Еп</w:t>
      </w:r>
      <w:proofErr w:type="spellEnd"/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= А, А = </w:t>
      </w:r>
      <w:proofErr w:type="spellStart"/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Fh</w:t>
      </w:r>
      <w:proofErr w:type="spell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, сила 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F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= 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mg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, тогда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                    </w:t>
      </w:r>
      <w:proofErr w:type="spellStart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Еп</w:t>
      </w:r>
      <w:proofErr w:type="spellEnd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=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mgh</w:t>
      </w:r>
      <w:proofErr w:type="spellEnd"/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m 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–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масса</w:t>
      </w:r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тела,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g 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–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ускорение</w:t>
      </w:r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свободного падения,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h 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–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gramStart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высота</w:t>
      </w:r>
      <w:proofErr w:type="gram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, на которую поднято тело.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Мы знаем, что на деформированную пружину действует сила упругости 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F</w:t>
      </w: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Pr="001A0C6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kx</w:t>
      </w:r>
      <w:proofErr w:type="spellEnd"/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, тогда </w:t>
      </w:r>
      <w:proofErr w:type="spellStart"/>
      <w:proofErr w:type="gramStart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Еп</w:t>
      </w:r>
      <w:proofErr w:type="spellEnd"/>
      <w:proofErr w:type="gramEnd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=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kx</w:t>
      </w:r>
      <w:proofErr w:type="spellEnd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vertAlign w:val="superscript"/>
          <w:lang w:val="ru-RU" w:eastAsia="ru-RU"/>
        </w:rPr>
        <w:t>2</w:t>
      </w:r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/2. (</w:t>
      </w:r>
      <w:proofErr w:type="spellStart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см.рисунок</w:t>
      </w:r>
      <w:proofErr w:type="spellEnd"/>
      <w:r w:rsidRPr="001A0C6B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5.6 в учебнике , стр.138)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1A0C6B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7" w:history="1">
        <w:r w:rsidRPr="001A0C6B">
          <w:rPr>
            <w:rStyle w:val="a3"/>
            <w:rFonts w:ascii="Times New Roman" w:hAnsi="Times New Roman" w:cs="Times New Roman"/>
            <w:b/>
            <w:sz w:val="24"/>
            <w:szCs w:val="24"/>
            <w:lang w:val="ru-RU" w:eastAsia="ru-RU"/>
          </w:rPr>
          <w:t>http://files.school-collection.edu.ru/dlrstore/9188db9a-4b3f-4a81-9394-350857c80d42/7_118.swf</w:t>
        </w:r>
      </w:hyperlink>
    </w:p>
    <w:p w:rsidR="001A0C6B" w:rsidRPr="001A0C6B" w:rsidRDefault="006445E8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«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Атамура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» 2017.Башарулы Р</w:t>
      </w:r>
      <w:bookmarkStart w:id="0" w:name="_GoBack"/>
      <w:bookmarkEnd w:id="0"/>
    </w:p>
    <w:p w:rsidR="001A0C6B" w:rsidRPr="001A0C6B" w:rsidRDefault="001A0C6B" w:rsidP="001A0C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 w:eastAsia="en-GB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kk-KZ" w:eastAsia="en-GB"/>
        </w:rPr>
        <w:t>Пиши самое главное и важное в рабочей тетради.</w:t>
      </w: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1A0C6B" w:rsidRPr="001A0C6B" w:rsidRDefault="001A0C6B" w:rsidP="001A0C6B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1A0C6B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3.Задания для учащихся :</w:t>
      </w:r>
    </w:p>
    <w:p w:rsidR="001A0C6B" w:rsidRPr="001A0C6B" w:rsidRDefault="001A0C6B" w:rsidP="001A0C6B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Задание 1</w:t>
      </w:r>
    </w:p>
    <w:p w:rsidR="001A0C6B" w:rsidRPr="001A0C6B" w:rsidRDefault="001A0C6B" w:rsidP="001A0C6B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1A0C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 какую высоту нужно подбросить мяч массой 0,5 кг, чтобы он приобрел</w:t>
      </w:r>
    </w:p>
    <w:p w:rsidR="001A0C6B" w:rsidRPr="001A0C6B" w:rsidRDefault="001A0C6B" w:rsidP="001A0C6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потенциальную энергию 25 Дж относительно поверхности земли?</w:t>
      </w:r>
    </w:p>
    <w:p w:rsidR="001A0C6B" w:rsidRPr="001A0C6B" w:rsidRDefault="001A0C6B" w:rsidP="001A0C6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C6B" w:rsidRPr="001A0C6B" w:rsidRDefault="001A0C6B" w:rsidP="001A0C6B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Реши задачи из учебника: стр.140, упр.5.4 </w:t>
      </w:r>
      <w:proofErr w:type="gramStart"/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по мере возможности учащегося) 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Pr="001A0C6B">
        <w:rPr>
          <w:rFonts w:ascii="Times New Roman" w:hAnsi="Times New Roman" w:cs="Times New Roman"/>
          <w:sz w:val="24"/>
          <w:szCs w:val="24"/>
        </w:rPr>
        <w:t>WhatsApp</w:t>
      </w:r>
      <w:proofErr w:type="spellEnd"/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пишет </w:t>
      </w:r>
      <w:proofErr w:type="spellStart"/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коментарии</w:t>
      </w:r>
      <w:proofErr w:type="spellEnd"/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A0C6B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1A0C6B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b/>
          <w:sz w:val="24"/>
          <w:szCs w:val="24"/>
          <w:lang w:val="ru-RU"/>
        </w:rPr>
        <w:t>Рефлексия: Что было понятно? Какие трудности были при решении задач?</w:t>
      </w: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Pr="001A0C6B">
        <w:rPr>
          <w:rFonts w:ascii="Times New Roman" w:hAnsi="Times New Roman" w:cs="Times New Roman"/>
          <w:sz w:val="24"/>
          <w:szCs w:val="24"/>
          <w:lang w:val="ru-RU"/>
        </w:rPr>
        <w:t>Уйсимбаева</w:t>
      </w:r>
      <w:proofErr w:type="spellEnd"/>
      <w:r w:rsidRPr="001A0C6B">
        <w:rPr>
          <w:rFonts w:ascii="Times New Roman" w:hAnsi="Times New Roman" w:cs="Times New Roman"/>
          <w:sz w:val="24"/>
          <w:szCs w:val="24"/>
          <w:lang w:val="ru-RU"/>
        </w:rPr>
        <w:t xml:space="preserve"> С.Т, учитель физики ОШ №76 при поддержке ГНМНТО Управления образования </w:t>
      </w:r>
      <w:proofErr w:type="spellStart"/>
      <w:r w:rsidRPr="001A0C6B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1A0C6B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1A0C6B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1A0C6B" w:rsidRPr="001A0C6B" w:rsidRDefault="001A0C6B" w:rsidP="001A0C6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7044C" w:rsidRPr="001A0C6B" w:rsidRDefault="0037044C">
      <w:pPr>
        <w:rPr>
          <w:rFonts w:ascii="Times New Roman" w:hAnsi="Times New Roman" w:cs="Times New Roman"/>
          <w:lang w:val="ru-RU"/>
        </w:rPr>
      </w:pPr>
    </w:p>
    <w:sectPr w:rsidR="0037044C" w:rsidRPr="001A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29"/>
    <w:rsid w:val="001A0C6B"/>
    <w:rsid w:val="0037044C"/>
    <w:rsid w:val="006445E8"/>
    <w:rsid w:val="00A9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6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C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C6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6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C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C6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9188db9a-4b3f-4a81-9394-350857c80d42/7_118.sw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3</cp:revision>
  <dcterms:created xsi:type="dcterms:W3CDTF">2020-03-30T06:18:00Z</dcterms:created>
  <dcterms:modified xsi:type="dcterms:W3CDTF">2020-03-30T06:31:00Z</dcterms:modified>
</cp:coreProperties>
</file>